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C972FF" w:rsidRPr="00C972FF" w:rsidTr="00C972FF">
        <w:trPr>
          <w:tblCellSpacing w:w="0" w:type="dxa"/>
          <w:jc w:val="center"/>
        </w:trPr>
        <w:tc>
          <w:tcPr>
            <w:tcW w:w="0" w:type="auto"/>
            <w:tcBorders>
              <w:top w:val="nil"/>
              <w:left w:val="nil"/>
              <w:bottom w:val="nil"/>
              <w:right w:val="nil"/>
            </w:tcBorders>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jc w:val="center"/>
              </w:trPr>
              <w:tc>
                <w:tcPr>
                  <w:tcW w:w="0" w:type="auto"/>
                  <w:tcBorders>
                    <w:top w:val="nil"/>
                    <w:left w:val="nil"/>
                    <w:bottom w:val="nil"/>
                    <w:right w:val="nil"/>
                  </w:tcBorders>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C972FF" w:rsidRPr="00C972FF">
                    <w:trPr>
                      <w:tblCellSpacing w:w="0" w:type="dxa"/>
                      <w:jc w:val="center"/>
                    </w:trPr>
                    <w:tc>
                      <w:tcPr>
                        <w:tcW w:w="0" w:type="auto"/>
                        <w:tcBorders>
                          <w:top w:val="nil"/>
                          <w:left w:val="nil"/>
                          <w:bottom w:val="nil"/>
                          <w:right w:val="nil"/>
                        </w:tcBorders>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jc w:val="center"/>
                          </w:trPr>
                          <w:tc>
                            <w:tcPr>
                              <w:tcW w:w="0" w:type="auto"/>
                              <w:tcBorders>
                                <w:top w:val="nil"/>
                                <w:left w:val="nil"/>
                                <w:bottom w:val="nil"/>
                                <w:right w:val="nil"/>
                              </w:tcBorders>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C972FF" w:rsidRPr="00C972FF">
                                <w:trPr>
                                  <w:tblCellSpacing w:w="0" w:type="dxa"/>
                                </w:trPr>
                                <w:tc>
                                  <w:tcPr>
                                    <w:tcW w:w="0" w:type="auto"/>
                                    <w:tcBorders>
                                      <w:top w:val="nil"/>
                                      <w:left w:val="nil"/>
                                      <w:bottom w:val="nil"/>
                                      <w:right w:val="nil"/>
                                    </w:tcBorders>
                                    <w:shd w:val="clear" w:color="auto" w:fill="FFFFFF"/>
                                    <w:tcMar>
                                      <w:top w:w="150" w:type="dxa"/>
                                      <w:left w:w="300" w:type="dxa"/>
                                      <w:bottom w:w="150" w:type="dxa"/>
                                      <w:right w:w="300" w:type="dxa"/>
                                    </w:tcMar>
                                    <w:hideMark/>
                                  </w:tcPr>
                                  <w:p w:rsidR="00C972FF" w:rsidRPr="00C972FF" w:rsidRDefault="00C972FF" w:rsidP="00C972FF">
                                    <w:pPr>
                                      <w:spacing w:after="0" w:line="315" w:lineRule="atLeast"/>
                                      <w:jc w:val="center"/>
                                      <w:rPr>
                                        <w:rFonts w:ascii="Verdana" w:eastAsia="Times New Roman" w:hAnsi="Verdana" w:cs="Times New Roman"/>
                                        <w:color w:val="766A65"/>
                                        <w:sz w:val="21"/>
                                        <w:szCs w:val="21"/>
                                        <w:lang w:eastAsia="en-IN"/>
                                      </w:rPr>
                                    </w:pPr>
                                    <w:r w:rsidRPr="00C972FF">
                                      <w:rPr>
                                        <w:rFonts w:ascii="Verdana" w:eastAsia="Times New Roman" w:hAnsi="Verdana" w:cs="Times New Roman"/>
                                        <w:b/>
                                        <w:bCs/>
                                        <w:color w:val="181818"/>
                                        <w:sz w:val="24"/>
                                        <w:szCs w:val="24"/>
                                        <w:lang w:eastAsia="en-IN"/>
                                      </w:rPr>
                                      <w:t>Limited operations due to airspace closure until March 7th 2026 v3</w:t>
                                    </w:r>
                                  </w:p>
                                </w:tc>
                              </w:tr>
                            </w:tbl>
                            <w:p w:rsidR="00C972FF" w:rsidRPr="00C972FF" w:rsidRDefault="00C972FF" w:rsidP="00C972FF">
                              <w:pPr>
                                <w:spacing w:after="0" w:line="240" w:lineRule="auto"/>
                                <w:rPr>
                                  <w:rFonts w:ascii="Verdana" w:eastAsia="Times New Roman" w:hAnsi="Verdana" w:cs="Times New Roman"/>
                                  <w:sz w:val="24"/>
                                  <w:szCs w:val="24"/>
                                  <w:lang w:eastAsia="en-IN"/>
                                </w:rPr>
                              </w:pPr>
                            </w:p>
                          </w:tc>
                        </w:tr>
                        <w:tr w:rsidR="00C972FF" w:rsidRPr="00C972FF">
                          <w:trPr>
                            <w:tblCellSpacing w:w="0" w:type="dxa"/>
                            <w:jc w:val="center"/>
                          </w:trPr>
                          <w:tc>
                            <w:tcPr>
                              <w:tcW w:w="0" w:type="auto"/>
                              <w:tcBorders>
                                <w:top w:val="nil"/>
                                <w:left w:val="nil"/>
                                <w:bottom w:val="nil"/>
                                <w:right w:val="nil"/>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trPr>
                                <w:tc>
                                  <w:tcPr>
                                    <w:tcW w:w="0" w:type="auto"/>
                                    <w:vAlign w:val="center"/>
                                    <w:hideMark/>
                                  </w:tcPr>
                                  <w:p w:rsidR="00C972FF" w:rsidRPr="00C972FF" w:rsidRDefault="00C972FF" w:rsidP="00C972FF">
                                    <w:pPr>
                                      <w:spacing w:after="0" w:line="15" w:lineRule="atLeast"/>
                                      <w:rPr>
                                        <w:rFonts w:ascii="Verdana" w:eastAsia="Times New Roman" w:hAnsi="Verdana" w:cs="Times New Roman"/>
                                        <w:sz w:val="2"/>
                                        <w:szCs w:val="2"/>
                                        <w:lang w:eastAsia="en-IN"/>
                                      </w:rPr>
                                    </w:pPr>
                                    <w:r w:rsidRPr="00C972FF">
                                      <w:rPr>
                                        <w:rFonts w:ascii="Verdana" w:eastAsia="Times New Roman" w:hAnsi="Verdana" w:cs="Times New Roman"/>
                                        <w:noProof/>
                                        <w:sz w:val="2"/>
                                        <w:szCs w:val="2"/>
                                        <w:lang w:eastAsia="en-IN"/>
                                      </w:rPr>
                                      <w:drawing>
                                        <wp:inline distT="0" distB="0" distL="0" distR="0">
                                          <wp:extent cx="9525" cy="95250"/>
                                          <wp:effectExtent l="0" t="0" r="0" b="0"/>
                                          <wp:docPr id="3" name="Picture 3"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C972FF" w:rsidRPr="00C972FF" w:rsidRDefault="00C972FF" w:rsidP="00C972FF">
                              <w:pPr>
                                <w:spacing w:after="0" w:line="240" w:lineRule="auto"/>
                                <w:rPr>
                                  <w:rFonts w:ascii="Verdana" w:eastAsia="Times New Roman" w:hAnsi="Verdana" w:cs="Times New Roman"/>
                                  <w:vanish/>
                                  <w:sz w:val="24"/>
                                  <w:szCs w:val="24"/>
                                  <w:lang w:eastAsia="en-IN"/>
                                </w:rPr>
                              </w:pPr>
                            </w:p>
                          </w:tc>
                        </w:tr>
                      </w:tbl>
                      <w:p w:rsidR="00C972FF" w:rsidRPr="00C972FF" w:rsidRDefault="00C972FF" w:rsidP="00C972FF">
                        <w:pPr>
                          <w:spacing w:after="0" w:line="240" w:lineRule="auto"/>
                          <w:jc w:val="center"/>
                          <w:textAlignment w:val="top"/>
                          <w:rPr>
                            <w:rFonts w:ascii="Verdana" w:eastAsia="Times New Roman" w:hAnsi="Verdana" w:cs="Times New Roman"/>
                            <w:sz w:val="2"/>
                            <w:szCs w:val="2"/>
                            <w:lang w:eastAsia="en-IN"/>
                          </w:rPr>
                        </w:pPr>
                      </w:p>
                    </w:tc>
                  </w:tr>
                </w:tbl>
                <w:p w:rsidR="00C972FF" w:rsidRPr="00C972FF" w:rsidRDefault="00C972FF" w:rsidP="00C972FF">
                  <w:pPr>
                    <w:spacing w:after="0" w:line="240" w:lineRule="auto"/>
                    <w:rPr>
                      <w:rFonts w:ascii="Verdana" w:eastAsia="Times New Roman" w:hAnsi="Verdana" w:cs="Times New Roman"/>
                      <w:vanish/>
                      <w:sz w:val="24"/>
                      <w:szCs w:val="24"/>
                      <w:lang w:eastAsia="en-IN"/>
                    </w:rPr>
                  </w:pPr>
                </w:p>
                <w:tbl>
                  <w:tblPr>
                    <w:tblW w:w="5000" w:type="pct"/>
                    <w:tblCellSpacing w:w="0" w:type="dxa"/>
                    <w:tblCellMar>
                      <w:left w:w="0" w:type="dxa"/>
                      <w:right w:w="0" w:type="dxa"/>
                    </w:tblCellMar>
                    <w:tblLook w:val="04A0" w:firstRow="1" w:lastRow="0" w:firstColumn="1" w:lastColumn="0" w:noHBand="0" w:noVBand="1"/>
                  </w:tblPr>
                  <w:tblGrid>
                    <w:gridCol w:w="9026"/>
                  </w:tblGrid>
                  <w:tr w:rsidR="00C972FF" w:rsidRPr="00C972FF">
                    <w:trPr>
                      <w:tblCellSpacing w:w="0" w:type="dxa"/>
                    </w:trPr>
                    <w:tc>
                      <w:tcPr>
                        <w:tcW w:w="0" w:type="auto"/>
                        <w:tcBorders>
                          <w:top w:val="nil"/>
                          <w:left w:val="nil"/>
                          <w:bottom w:val="nil"/>
                          <w:right w:val="nil"/>
                        </w:tcBorders>
                        <w:tcMar>
                          <w:top w:w="150" w:type="dxa"/>
                          <w:left w:w="150" w:type="dxa"/>
                          <w:bottom w:w="150" w:type="dxa"/>
                          <w:right w:w="150" w:type="dxa"/>
                        </w:tcMar>
                        <w:hideMark/>
                      </w:tcPr>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Dear Valued Partner,</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Emirates continues to operate a limited flight schedule between 5 March and 7 March 2026.</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Important Passenger Acceptance Updates</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numPr>
                            <w:ilvl w:val="0"/>
                            <w:numId w:val="1"/>
                          </w:numPr>
                          <w:spacing w:after="24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The previous 6-hour connection requirement has been removed. Customers no longer need to meet this rule to be accepted for travel.</w:t>
                        </w:r>
                      </w:p>
                      <w:p w:rsidR="00C972FF" w:rsidRPr="00C972FF" w:rsidRDefault="00C972FF" w:rsidP="00C972FF">
                        <w:pPr>
                          <w:numPr>
                            <w:ilvl w:val="0"/>
                            <w:numId w:val="1"/>
                          </w:numPr>
                          <w:spacing w:after="24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STPC eligibility criteria has been reinstated.</w:t>
                        </w:r>
                      </w:p>
                      <w:p w:rsidR="00C972FF" w:rsidRPr="00C972FF" w:rsidRDefault="00C972FF" w:rsidP="00C972FF">
                        <w:pPr>
                          <w:numPr>
                            <w:ilvl w:val="0"/>
                            <w:numId w:val="1"/>
                          </w:numPr>
                          <w:spacing w:after="24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Check in Online has been reinstated.</w:t>
                        </w:r>
                      </w:p>
                      <w:p w:rsidR="00C972FF" w:rsidRPr="00C972FF" w:rsidRDefault="00C972FF" w:rsidP="00C972FF">
                        <w:pPr>
                          <w:numPr>
                            <w:ilvl w:val="0"/>
                            <w:numId w:val="1"/>
                          </w:numPr>
                          <w:spacing w:after="24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All customers may travel to the UAE, provided they meet the standard UAE entry requirements.</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The Disruption Handling Policy allows free re-booking and re-routing options for passengers traveling up to 31 March, who may rebook their travel anytime up to 30 April to destinations within the same region and in any RBD within the same compartment.</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Refund is applicable on unused flight coupons and cancellation charges are waived for tickets issued for travel up to 31 March 2026.</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b/>
                            <w:bCs/>
                            <w:color w:val="000000"/>
                            <w:sz w:val="24"/>
                            <w:szCs w:val="24"/>
                            <w:lang w:eastAsia="en-IN"/>
                          </w:rPr>
                          <w:t>Please click </w:t>
                        </w:r>
                        <w:hyperlink r:id="rId6" w:tgtFrame="_blank" w:history="1">
                          <w:r w:rsidRPr="00C972FF">
                            <w:rPr>
                              <w:rFonts w:ascii="Calibri" w:eastAsia="Times New Roman" w:hAnsi="Calibri" w:cs="Calibri"/>
                              <w:b/>
                              <w:bCs/>
                              <w:color w:val="D41D28"/>
                              <w:sz w:val="24"/>
                              <w:szCs w:val="24"/>
                              <w:u w:val="single"/>
                              <w:lang w:eastAsia="en-IN"/>
                            </w:rPr>
                            <w:t>here</w:t>
                          </w:r>
                        </w:hyperlink>
                        <w:r w:rsidRPr="00C972FF">
                          <w:rPr>
                            <w:rFonts w:ascii="Calibri" w:eastAsia="Times New Roman" w:hAnsi="Calibri" w:cs="Calibri"/>
                            <w:b/>
                            <w:bCs/>
                            <w:color w:val="000000"/>
                            <w:sz w:val="24"/>
                            <w:szCs w:val="24"/>
                            <w:lang w:eastAsia="en-IN"/>
                          </w:rPr>
                          <w:t> for latest policy</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The limited flights network operated are available for sales on Emirates Gateway and GDS.</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The latest flight updates will be published on our website.</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Please ask customers not to come to the airport unless they have been notified directly by Emirates or hold a confirmed booking for these flights. Customers are advised to check flight status, review the latest operational updates on emirates.com, and check their email for any notifications about changes or cancellations to their flights before travelling to the airport.</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Emirates continues to monitor the situation, and we will develop our operational schedule accordingly.</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lastRenderedPageBreak/>
                          <w:t>We would like to thank you as our partner and our customers for their understanding and patience. The safety and security of our passengers and crew remain our highest priority.</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sidRPr="00C972FF">
                          <w:rPr>
                            <w:rFonts w:ascii="Calibri" w:eastAsia="Times New Roman" w:hAnsi="Calibri" w:cs="Calibri"/>
                            <w:color w:val="000000"/>
                            <w:sz w:val="24"/>
                            <w:szCs w:val="24"/>
                            <w:lang w:eastAsia="en-IN"/>
                          </w:rPr>
                          <w:t>Regards,</w:t>
                        </w: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p>
                      <w:p w:rsidR="00C972FF" w:rsidRDefault="00C972FF" w:rsidP="00C972FF">
                        <w:pPr>
                          <w:spacing w:after="0" w:line="315" w:lineRule="atLeast"/>
                          <w:jc w:val="both"/>
                          <w:rPr>
                            <w:rFonts w:ascii="Calibri" w:eastAsia="Times New Roman" w:hAnsi="Calibri" w:cs="Calibri"/>
                            <w:b/>
                            <w:bCs/>
                            <w:color w:val="000000"/>
                            <w:sz w:val="24"/>
                            <w:szCs w:val="24"/>
                            <w:lang w:eastAsia="en-IN"/>
                          </w:rPr>
                        </w:pPr>
                        <w:r w:rsidRPr="00C972FF">
                          <w:rPr>
                            <w:rFonts w:ascii="Calibri" w:eastAsia="Times New Roman" w:hAnsi="Calibri" w:cs="Calibri"/>
                            <w:b/>
                            <w:bCs/>
                            <w:color w:val="000000"/>
                            <w:sz w:val="24"/>
                            <w:szCs w:val="24"/>
                            <w:lang w:eastAsia="en-IN"/>
                          </w:rPr>
                          <w:t>The Emirates Team</w:t>
                        </w:r>
                      </w:p>
                      <w:p w:rsidR="00C972FF" w:rsidRDefault="00C972FF" w:rsidP="00C972FF">
                        <w:pPr>
                          <w:spacing w:after="0" w:line="315" w:lineRule="atLeast"/>
                          <w:jc w:val="both"/>
                          <w:rPr>
                            <w:rFonts w:ascii="Calibri" w:eastAsia="Times New Roman" w:hAnsi="Calibri" w:cs="Calibri"/>
                            <w:b/>
                            <w:bCs/>
                            <w:color w:val="000000"/>
                            <w:sz w:val="24"/>
                            <w:szCs w:val="24"/>
                            <w:lang w:eastAsia="en-IN"/>
                          </w:rPr>
                        </w:pPr>
                      </w:p>
                      <w:p w:rsidR="00C972FF" w:rsidRDefault="00C972FF" w:rsidP="00C972FF">
                        <w:pPr>
                          <w:spacing w:after="0" w:line="315" w:lineRule="atLeast"/>
                          <w:jc w:val="both"/>
                          <w:rPr>
                            <w:rFonts w:ascii="Calibri" w:eastAsia="Times New Roman" w:hAnsi="Calibri" w:cs="Calibri"/>
                            <w:b/>
                            <w:bCs/>
                            <w:color w:val="000000"/>
                            <w:sz w:val="24"/>
                            <w:szCs w:val="24"/>
                            <w:lang w:eastAsia="en-IN"/>
                          </w:rPr>
                        </w:pPr>
                      </w:p>
                      <w:p w:rsidR="00C972FF" w:rsidRPr="00C972FF" w:rsidRDefault="00C972FF" w:rsidP="00C972FF">
                        <w:pPr>
                          <w:spacing w:after="0" w:line="315" w:lineRule="atLeast"/>
                          <w:jc w:val="both"/>
                          <w:rPr>
                            <w:rFonts w:ascii="Calibri" w:eastAsia="Times New Roman" w:hAnsi="Calibri" w:cs="Calibri"/>
                            <w:color w:val="000000"/>
                            <w:sz w:val="24"/>
                            <w:szCs w:val="24"/>
                            <w:lang w:eastAsia="en-IN"/>
                          </w:rPr>
                        </w:pPr>
                        <w:r>
                          <w:rPr>
                            <w:rFonts w:ascii="Calibri" w:eastAsia="Times New Roman" w:hAnsi="Calibri" w:cs="Calibri"/>
                            <w:b/>
                            <w:bCs/>
                            <w:color w:val="000000"/>
                            <w:sz w:val="24"/>
                            <w:szCs w:val="24"/>
                            <w:lang w:eastAsia="en-IN"/>
                          </w:rPr>
                          <w:t xml:space="preserve">Link - </w:t>
                        </w:r>
                        <w:hyperlink r:id="rId7" w:history="1">
                          <w:r>
                            <w:rPr>
                              <w:rStyle w:val="Hyperlink"/>
                            </w:rPr>
                            <w:t>Limited operations due to airspace closure until March 7th 2026 v3</w:t>
                          </w:r>
                        </w:hyperlink>
                        <w:bookmarkStart w:id="0" w:name="_GoBack"/>
                        <w:bookmarkEnd w:id="0"/>
                      </w:p>
                      <w:p w:rsidR="00C972FF" w:rsidRPr="00C972FF" w:rsidRDefault="00C972FF" w:rsidP="00C972FF">
                        <w:pPr>
                          <w:spacing w:after="0" w:line="315" w:lineRule="atLeast"/>
                          <w:rPr>
                            <w:rFonts w:ascii="Verdana" w:eastAsia="Times New Roman" w:hAnsi="Verdana" w:cs="Times New Roman"/>
                            <w:color w:val="000000"/>
                            <w:sz w:val="21"/>
                            <w:szCs w:val="21"/>
                            <w:lang w:eastAsia="en-IN"/>
                          </w:rPr>
                        </w:pPr>
                      </w:p>
                    </w:tc>
                  </w:tr>
                </w:tbl>
                <w:p w:rsidR="00C972FF" w:rsidRPr="00C972FF" w:rsidRDefault="00C972FF" w:rsidP="00C972FF">
                  <w:pPr>
                    <w:spacing w:after="0" w:line="240" w:lineRule="auto"/>
                    <w:rPr>
                      <w:rFonts w:ascii="Verdana" w:eastAsia="Times New Roman" w:hAnsi="Verdana" w:cs="Times New Roman"/>
                      <w:sz w:val="24"/>
                      <w:szCs w:val="24"/>
                      <w:lang w:eastAsia="en-IN"/>
                    </w:rPr>
                  </w:pPr>
                </w:p>
              </w:tc>
            </w:tr>
            <w:tr w:rsidR="00C972FF" w:rsidRPr="00C972FF">
              <w:trPr>
                <w:tblCellSpacing w:w="0" w:type="dxa"/>
                <w:jc w:val="center"/>
              </w:trPr>
              <w:tc>
                <w:tcPr>
                  <w:tcW w:w="0" w:type="auto"/>
                  <w:tcBorders>
                    <w:top w:val="nil"/>
                    <w:left w:val="nil"/>
                    <w:bottom w:val="nil"/>
                    <w:right w:val="nil"/>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trPr>
                    <w:tc>
                      <w:tcPr>
                        <w:tcW w:w="0" w:type="auto"/>
                        <w:vAlign w:val="center"/>
                        <w:hideMark/>
                      </w:tcPr>
                      <w:p w:rsidR="00C972FF" w:rsidRPr="00C972FF" w:rsidRDefault="00C972FF" w:rsidP="00C972FF">
                        <w:pPr>
                          <w:spacing w:after="0" w:line="15" w:lineRule="atLeast"/>
                          <w:rPr>
                            <w:rFonts w:ascii="Verdana" w:eastAsia="Times New Roman" w:hAnsi="Verdana" w:cs="Times New Roman"/>
                            <w:sz w:val="2"/>
                            <w:szCs w:val="2"/>
                            <w:lang w:eastAsia="en-IN"/>
                          </w:rPr>
                        </w:pPr>
                        <w:r w:rsidRPr="00C972FF">
                          <w:rPr>
                            <w:rFonts w:ascii="Verdana" w:eastAsia="Times New Roman" w:hAnsi="Verdana" w:cs="Times New Roman"/>
                            <w:noProof/>
                            <w:sz w:val="2"/>
                            <w:szCs w:val="2"/>
                            <w:lang w:eastAsia="en-IN"/>
                          </w:rPr>
                          <w:lastRenderedPageBreak/>
                          <w:drawing>
                            <wp:inline distT="0" distB="0" distL="0" distR="0">
                              <wp:extent cx="9525" cy="95250"/>
                              <wp:effectExtent l="0" t="0" r="0" b="0"/>
                              <wp:docPr id="2" name="Picture 2"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C972FF" w:rsidRPr="00C972FF" w:rsidRDefault="00C972FF" w:rsidP="00C972FF">
                  <w:pPr>
                    <w:spacing w:after="0" w:line="240" w:lineRule="auto"/>
                    <w:rPr>
                      <w:rFonts w:ascii="Verdana" w:eastAsia="Times New Roman" w:hAnsi="Verdana" w:cs="Times New Roman"/>
                      <w:vanish/>
                      <w:sz w:val="24"/>
                      <w:szCs w:val="24"/>
                      <w:lang w:eastAsia="en-IN"/>
                    </w:rPr>
                  </w:pPr>
                </w:p>
              </w:tc>
            </w:tr>
          </w:tbl>
          <w:p w:rsidR="00C972FF" w:rsidRPr="00C972FF" w:rsidRDefault="00C972FF" w:rsidP="00C972FF">
            <w:pPr>
              <w:spacing w:after="0" w:line="240" w:lineRule="auto"/>
              <w:jc w:val="center"/>
              <w:textAlignment w:val="top"/>
              <w:rPr>
                <w:rFonts w:ascii="Verdana" w:eastAsia="Times New Roman" w:hAnsi="Verdana" w:cs="Times New Roman"/>
                <w:vanish/>
                <w:color w:val="000000"/>
                <w:sz w:val="2"/>
                <w:szCs w:val="2"/>
                <w:lang w:eastAsia="en-IN"/>
              </w:rPr>
            </w:pPr>
          </w:p>
        </w:tc>
      </w:tr>
    </w:tbl>
    <w:p w:rsidR="00C972FF" w:rsidRPr="00C972FF" w:rsidRDefault="00C972FF" w:rsidP="00C972FF">
      <w:pPr>
        <w:spacing w:after="0" w:line="240" w:lineRule="auto"/>
        <w:rPr>
          <w:rFonts w:ascii="Times New Roman" w:eastAsia="Times New Roman" w:hAnsi="Times New Roman" w:cs="Times New Roman"/>
          <w:vanish/>
          <w:sz w:val="24"/>
          <w:szCs w:val="24"/>
          <w:lang w:eastAsia="en-IN"/>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C972FF" w:rsidRPr="00C972FF" w:rsidTr="00C972FF">
        <w:trPr>
          <w:tblCellSpacing w:w="0" w:type="dxa"/>
          <w:jc w:val="center"/>
        </w:trPr>
        <w:tc>
          <w:tcPr>
            <w:tcW w:w="0" w:type="auto"/>
            <w:tcBorders>
              <w:top w:val="nil"/>
              <w:left w:val="nil"/>
              <w:bottom w:val="nil"/>
              <w:right w:val="nil"/>
            </w:tcBorders>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jc w:val="center"/>
              </w:trPr>
              <w:tc>
                <w:tcPr>
                  <w:tcW w:w="0" w:type="auto"/>
                  <w:tcBorders>
                    <w:top w:val="nil"/>
                    <w:left w:val="nil"/>
                    <w:bottom w:val="nil"/>
                    <w:right w:val="nil"/>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C972FF" w:rsidRPr="00C972FF" w:rsidTr="00C972FF">
                    <w:trPr>
                      <w:tblCellSpacing w:w="0" w:type="dxa"/>
                    </w:trPr>
                    <w:tc>
                      <w:tcPr>
                        <w:tcW w:w="0" w:type="auto"/>
                        <w:vAlign w:val="center"/>
                        <w:hideMark/>
                      </w:tcPr>
                      <w:p w:rsidR="00C972FF" w:rsidRPr="00C972FF" w:rsidRDefault="00C972FF" w:rsidP="00C972FF">
                        <w:pPr>
                          <w:spacing w:after="0" w:line="15" w:lineRule="atLeast"/>
                          <w:rPr>
                            <w:rFonts w:ascii="Verdana" w:eastAsia="Times New Roman" w:hAnsi="Verdana" w:cs="Times New Roman"/>
                            <w:sz w:val="2"/>
                            <w:szCs w:val="2"/>
                            <w:lang w:eastAsia="en-IN"/>
                          </w:rPr>
                        </w:pPr>
                        <w:r w:rsidRPr="00C972FF">
                          <w:rPr>
                            <w:rFonts w:ascii="Verdana" w:eastAsia="Times New Roman" w:hAnsi="Verdana" w:cs="Times New Roman"/>
                            <w:noProof/>
                            <w:sz w:val="2"/>
                            <w:szCs w:val="2"/>
                            <w:lang w:eastAsia="en-IN"/>
                          </w:rPr>
                          <w:drawing>
                            <wp:inline distT="0" distB="0" distL="0" distR="0">
                              <wp:extent cx="9525" cy="95250"/>
                              <wp:effectExtent l="0" t="0" r="0" b="0"/>
                              <wp:docPr id="1" name="Picture 1"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C972FF" w:rsidRPr="00C972FF" w:rsidRDefault="00C972FF" w:rsidP="00C972FF">
                  <w:pPr>
                    <w:spacing w:after="0" w:line="240" w:lineRule="auto"/>
                    <w:rPr>
                      <w:rFonts w:ascii="Verdana" w:eastAsia="Times New Roman" w:hAnsi="Verdana" w:cs="Times New Roman"/>
                      <w:vanish/>
                      <w:sz w:val="24"/>
                      <w:szCs w:val="24"/>
                      <w:lang w:eastAsia="en-IN"/>
                    </w:rPr>
                  </w:pPr>
                </w:p>
              </w:tc>
            </w:tr>
            <w:tr w:rsidR="00C972FF" w:rsidRPr="00C972FF">
              <w:trPr>
                <w:tblCellSpacing w:w="0" w:type="dxa"/>
                <w:jc w:val="center"/>
              </w:trPr>
              <w:tc>
                <w:tcPr>
                  <w:tcW w:w="0" w:type="auto"/>
                  <w:tcBorders>
                    <w:top w:val="nil"/>
                    <w:left w:val="nil"/>
                    <w:bottom w:val="nil"/>
                    <w:right w:val="nil"/>
                  </w:tcBorders>
                  <w:vAlign w:val="center"/>
                  <w:hideMark/>
                </w:tcPr>
                <w:p w:rsidR="00C972FF" w:rsidRPr="00C972FF" w:rsidRDefault="00C972FF" w:rsidP="00C972FF">
                  <w:pPr>
                    <w:spacing w:after="0" w:line="240" w:lineRule="auto"/>
                    <w:jc w:val="center"/>
                    <w:textAlignment w:val="top"/>
                    <w:rPr>
                      <w:rFonts w:ascii="Verdana" w:eastAsia="Times New Roman" w:hAnsi="Verdana" w:cs="Times New Roman"/>
                      <w:color w:val="000000"/>
                      <w:sz w:val="2"/>
                      <w:szCs w:val="2"/>
                      <w:lang w:eastAsia="en-IN"/>
                    </w:rPr>
                  </w:pPr>
                </w:p>
              </w:tc>
            </w:tr>
          </w:tbl>
          <w:p w:rsidR="00C972FF" w:rsidRPr="00C972FF" w:rsidRDefault="00C972FF" w:rsidP="00C972FF">
            <w:pPr>
              <w:spacing w:after="0" w:line="240" w:lineRule="auto"/>
              <w:jc w:val="center"/>
              <w:textAlignment w:val="top"/>
              <w:rPr>
                <w:rFonts w:ascii="Verdana" w:eastAsia="Times New Roman" w:hAnsi="Verdana" w:cs="Times New Roman"/>
                <w:color w:val="000000"/>
                <w:sz w:val="2"/>
                <w:szCs w:val="2"/>
                <w:lang w:eastAsia="en-IN"/>
              </w:rPr>
            </w:pPr>
          </w:p>
        </w:tc>
      </w:tr>
    </w:tbl>
    <w:p w:rsidR="001A731D" w:rsidRDefault="00C972FF"/>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54D72"/>
    <w:multiLevelType w:val="multilevel"/>
    <w:tmpl w:val="9488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2FF"/>
    <w:rsid w:val="00497DA1"/>
    <w:rsid w:val="00730BB1"/>
    <w:rsid w:val="00C972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5C7EB"/>
  <w15:chartTrackingRefBased/>
  <w15:docId w15:val="{0DCF0669-836F-4C36-A031-19CB380E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72F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C972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538921">
      <w:bodyDiv w:val="1"/>
      <w:marLeft w:val="0"/>
      <w:marRight w:val="0"/>
      <w:marTop w:val="0"/>
      <w:marBottom w:val="0"/>
      <w:divBdr>
        <w:top w:val="none" w:sz="0" w:space="0" w:color="auto"/>
        <w:left w:val="none" w:sz="0" w:space="0" w:color="auto"/>
        <w:bottom w:val="none" w:sz="0" w:space="0" w:color="auto"/>
        <w:right w:val="none" w:sz="0" w:space="0" w:color="auto"/>
      </w:divBdr>
      <w:divsChild>
        <w:div w:id="1854761587">
          <w:marLeft w:val="0"/>
          <w:marRight w:val="0"/>
          <w:marTop w:val="0"/>
          <w:marBottom w:val="0"/>
          <w:divBdr>
            <w:top w:val="none" w:sz="0" w:space="0" w:color="auto"/>
            <w:left w:val="none" w:sz="0" w:space="0" w:color="auto"/>
            <w:bottom w:val="none" w:sz="0" w:space="0" w:color="auto"/>
            <w:right w:val="none" w:sz="0" w:space="0" w:color="auto"/>
          </w:divBdr>
          <w:divsChild>
            <w:div w:id="823548898">
              <w:marLeft w:val="0"/>
              <w:marRight w:val="0"/>
              <w:marTop w:val="0"/>
              <w:marBottom w:val="0"/>
              <w:divBdr>
                <w:top w:val="none" w:sz="0" w:space="0" w:color="auto"/>
                <w:left w:val="none" w:sz="0" w:space="0" w:color="auto"/>
                <w:bottom w:val="none" w:sz="0" w:space="0" w:color="auto"/>
                <w:right w:val="none" w:sz="0" w:space="0" w:color="auto"/>
              </w:divBdr>
              <w:divsChild>
                <w:div w:id="935943240">
                  <w:marLeft w:val="0"/>
                  <w:marRight w:val="0"/>
                  <w:marTop w:val="0"/>
                  <w:marBottom w:val="0"/>
                  <w:divBdr>
                    <w:top w:val="none" w:sz="0" w:space="0" w:color="auto"/>
                    <w:left w:val="none" w:sz="0" w:space="0" w:color="auto"/>
                    <w:bottom w:val="none" w:sz="0" w:space="0" w:color="auto"/>
                    <w:right w:val="none" w:sz="0" w:space="0" w:color="auto"/>
                  </w:divBdr>
                </w:div>
              </w:divsChild>
            </w:div>
            <w:div w:id="1718427761">
              <w:marLeft w:val="0"/>
              <w:marRight w:val="0"/>
              <w:marTop w:val="0"/>
              <w:marBottom w:val="0"/>
              <w:divBdr>
                <w:top w:val="none" w:sz="0" w:space="0" w:color="auto"/>
                <w:left w:val="none" w:sz="0" w:space="0" w:color="auto"/>
                <w:bottom w:val="none" w:sz="0" w:space="0" w:color="auto"/>
                <w:right w:val="none" w:sz="0" w:space="0" w:color="auto"/>
              </w:divBdr>
            </w:div>
            <w:div w:id="1495031140">
              <w:marLeft w:val="0"/>
              <w:marRight w:val="0"/>
              <w:marTop w:val="0"/>
              <w:marBottom w:val="0"/>
              <w:divBdr>
                <w:top w:val="none" w:sz="0" w:space="0" w:color="auto"/>
                <w:left w:val="none" w:sz="0" w:space="0" w:color="auto"/>
                <w:bottom w:val="none" w:sz="0" w:space="0" w:color="auto"/>
                <w:right w:val="none" w:sz="0" w:space="0" w:color="auto"/>
              </w:divBdr>
            </w:div>
          </w:divsChild>
        </w:div>
        <w:div w:id="2013409927">
          <w:marLeft w:val="0"/>
          <w:marRight w:val="0"/>
          <w:marTop w:val="0"/>
          <w:marBottom w:val="0"/>
          <w:divBdr>
            <w:top w:val="none" w:sz="0" w:space="0" w:color="auto"/>
            <w:left w:val="none" w:sz="0" w:space="0" w:color="auto"/>
            <w:bottom w:val="none" w:sz="0" w:space="0" w:color="auto"/>
            <w:right w:val="none" w:sz="0" w:space="0" w:color="auto"/>
          </w:divBdr>
        </w:div>
        <w:div w:id="1570923855">
          <w:marLeft w:val="0"/>
          <w:marRight w:val="0"/>
          <w:marTop w:val="0"/>
          <w:marBottom w:val="0"/>
          <w:divBdr>
            <w:top w:val="none" w:sz="0" w:space="0" w:color="auto"/>
            <w:left w:val="none" w:sz="0" w:space="0" w:color="auto"/>
            <w:bottom w:val="none" w:sz="0" w:space="0" w:color="auto"/>
            <w:right w:val="none" w:sz="0" w:space="0" w:color="auto"/>
          </w:divBdr>
          <w:divsChild>
            <w:div w:id="12412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emiratesagents.com/cr/AQiW0QcQ58KnARjChYuaAjCowL4SHdE5g4NUY4ZGZvzWmj4UZyQXkshIkX49yZF5uFOGXp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emiratesagents.com/c/AQiW0QcQ58KnARjChYuaAiDG9fkhKKjAvhLyJAGYlqc8C9i9N-g4M2NEeb67fmffnV_66RQ0885GUw"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2026-03-05T17:32:00Z</dcterms:created>
  <dcterms:modified xsi:type="dcterms:W3CDTF">2026-03-05T17:33:00Z</dcterms:modified>
</cp:coreProperties>
</file>